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7DE53" w14:textId="2A27E34D" w:rsidR="00960C19" w:rsidRPr="00AB7084" w:rsidRDefault="00F243FA" w:rsidP="00AB7084">
      <w:pPr>
        <w:spacing w:line="240" w:lineRule="auto"/>
        <w:ind w:right="-1260"/>
        <w:rPr>
          <w:rFonts w:cs="Times New Roman"/>
        </w:rPr>
      </w:pPr>
      <w:r w:rsidRPr="00AB7084">
        <w:rPr>
          <w:rFonts w:cs="Times New Roman"/>
        </w:rPr>
        <w:t>February 2, 2022</w:t>
      </w:r>
    </w:p>
    <w:p w14:paraId="32EB8DD6" w14:textId="705EB6C6" w:rsidR="00960C19" w:rsidRPr="00AB7084" w:rsidRDefault="00F243FA" w:rsidP="00AB7084">
      <w:pPr>
        <w:spacing w:line="240" w:lineRule="auto"/>
        <w:ind w:right="-1260"/>
        <w:rPr>
          <w:rFonts w:cs="Times New Roman"/>
        </w:rPr>
      </w:pPr>
      <w:r w:rsidRPr="00AB7084">
        <w:rPr>
          <w:rFonts w:cs="Times New Roman"/>
        </w:rPr>
        <w:t xml:space="preserve">To: </w:t>
      </w:r>
      <w:r w:rsidR="00960C19" w:rsidRPr="00AB7084">
        <w:rPr>
          <w:rFonts w:cs="Times New Roman"/>
        </w:rPr>
        <w:t>Associate Professor Luke Wilson</w:t>
      </w:r>
      <w:r w:rsidRPr="00AB7084">
        <w:rPr>
          <w:rFonts w:cs="Times New Roman"/>
        </w:rPr>
        <w:br/>
      </w:r>
      <w:r w:rsidR="00960C19" w:rsidRPr="00AB7084">
        <w:rPr>
          <w:rFonts w:cs="Times New Roman"/>
        </w:rPr>
        <w:t>Chair, Arts and Sciences Curriculum Committee</w:t>
      </w:r>
    </w:p>
    <w:p w14:paraId="11AD2ACE" w14:textId="79B54FCC" w:rsidR="00960C19" w:rsidRPr="00AB7084" w:rsidRDefault="00960C19" w:rsidP="00AB7084">
      <w:pPr>
        <w:spacing w:line="240" w:lineRule="auto"/>
        <w:ind w:right="-1260"/>
        <w:rPr>
          <w:rFonts w:cs="Times New Roman"/>
        </w:rPr>
      </w:pPr>
      <w:r w:rsidRPr="00AB7084">
        <w:rPr>
          <w:rFonts w:cs="Times New Roman"/>
        </w:rPr>
        <w:t xml:space="preserve">Re: </w:t>
      </w:r>
      <w:r w:rsidR="009623E6" w:rsidRPr="00AB7084">
        <w:rPr>
          <w:rFonts w:cs="Times New Roman"/>
        </w:rPr>
        <w:t>Revision to PhD in Musicology post-baccalaureate and the PhD in Musicology post-Masters</w:t>
      </w:r>
    </w:p>
    <w:p w14:paraId="245B53EB" w14:textId="26460C3C" w:rsidR="007D4D77" w:rsidRPr="00AB7084" w:rsidRDefault="00960C19" w:rsidP="00AB7084">
      <w:pPr>
        <w:spacing w:line="240" w:lineRule="auto"/>
        <w:ind w:right="-1260"/>
        <w:rPr>
          <w:rFonts w:cs="Times New Roman"/>
        </w:rPr>
      </w:pPr>
      <w:r w:rsidRPr="00AB7084">
        <w:rPr>
          <w:rFonts w:cs="Times New Roman"/>
        </w:rPr>
        <w:t xml:space="preserve">At its meeting on </w:t>
      </w:r>
      <w:r w:rsidR="006C3B4C" w:rsidRPr="00AB7084">
        <w:rPr>
          <w:rFonts w:cs="Times New Roman"/>
        </w:rPr>
        <w:t>Wednesday, January 19, 2022</w:t>
      </w:r>
      <w:r w:rsidRPr="00AB7084">
        <w:rPr>
          <w:rFonts w:cs="Times New Roman"/>
        </w:rPr>
        <w:t xml:space="preserve">, the ASCC Arts &amp; Humanities Panel </w:t>
      </w:r>
      <w:r w:rsidR="00F243FA" w:rsidRPr="00AB7084">
        <w:rPr>
          <w:rFonts w:cs="Times New Roman"/>
        </w:rPr>
        <w:t>1</w:t>
      </w:r>
      <w:r w:rsidRPr="00AB7084">
        <w:rPr>
          <w:rFonts w:cs="Times New Roman"/>
        </w:rPr>
        <w:t xml:space="preserve"> unanimously approved</w:t>
      </w:r>
      <w:r w:rsidR="006C3B4C" w:rsidRPr="00AB7084">
        <w:rPr>
          <w:rFonts w:cs="Times New Roman"/>
        </w:rPr>
        <w:t xml:space="preserve"> a revision to the </w:t>
      </w:r>
      <w:r w:rsidR="009623E6" w:rsidRPr="00AB7084">
        <w:rPr>
          <w:rFonts w:cs="Times New Roman"/>
        </w:rPr>
        <w:t>PhD in Musicology post-baccalaureate and the PhD in Musicology post-Masters</w:t>
      </w:r>
      <w:r w:rsidR="006C3B4C" w:rsidRPr="00AB7084">
        <w:rPr>
          <w:rFonts w:cs="Times New Roman"/>
        </w:rPr>
        <w:t xml:space="preserve">.  </w:t>
      </w:r>
    </w:p>
    <w:p w14:paraId="4F91633E" w14:textId="33977F37" w:rsidR="007D4D77" w:rsidRPr="00AB7084" w:rsidRDefault="007D4D77" w:rsidP="00AB7084">
      <w:pPr>
        <w:spacing w:line="240" w:lineRule="auto"/>
        <w:ind w:right="-1260"/>
      </w:pPr>
      <w:r w:rsidRPr="00AB7084">
        <w:rPr>
          <w:b/>
          <w:bCs/>
        </w:rPr>
        <w:t>Revision to the 'Post-Master's' Ph.D. Program in Musicology</w:t>
      </w:r>
      <w:r w:rsidRPr="00AB7084">
        <w:rPr>
          <w:b/>
          <w:bCs/>
        </w:rPr>
        <w:br/>
      </w:r>
      <w:r w:rsidRPr="00AB7084">
        <w:rPr>
          <w:b/>
          <w:bCs/>
        </w:rPr>
        <w:br/>
      </w:r>
      <w:r w:rsidRPr="00AB7084">
        <w:t xml:space="preserve">The present revisions to the program sheet reflect ongoing changes in the broader field of Musicology, as well as within the Musicology Area as the School of Music’s faculty evolves. </w:t>
      </w:r>
      <w:proofErr w:type="gramStart"/>
      <w:r w:rsidRPr="00AB7084">
        <w:t>With regard to</w:t>
      </w:r>
      <w:proofErr w:type="gramEnd"/>
      <w:r w:rsidRPr="00AB7084">
        <w:t xml:space="preserve"> the latter, it also reflects their reduced instructional cohort, given the retirement of four senior faculty members in the past decade, with no TT hires to replace them.</w:t>
      </w:r>
    </w:p>
    <w:p w14:paraId="61E17726" w14:textId="43876A58" w:rsidR="00A02608" w:rsidRPr="00AB7084" w:rsidRDefault="004C7C96" w:rsidP="00AB7084">
      <w:pPr>
        <w:spacing w:line="240" w:lineRule="auto"/>
        <w:ind w:right="-1267"/>
        <w:rPr>
          <w:rFonts w:cs="Times New Roman"/>
          <w:u w:val="single"/>
        </w:rPr>
      </w:pPr>
      <w:r w:rsidRPr="00AB7084">
        <w:rPr>
          <w:rFonts w:cs="Times New Roman"/>
          <w:u w:val="single"/>
        </w:rPr>
        <w:t>C</w:t>
      </w:r>
      <w:r w:rsidR="00A02608" w:rsidRPr="00AB7084">
        <w:rPr>
          <w:rFonts w:cs="Times New Roman"/>
          <w:u w:val="single"/>
        </w:rPr>
        <w:t>ourse changes to the program:</w:t>
      </w:r>
    </w:p>
    <w:p w14:paraId="2263C404" w14:textId="2C9D0ECC" w:rsidR="00A02608" w:rsidRPr="00AB7084" w:rsidRDefault="00A02608" w:rsidP="00AB7084">
      <w:pPr>
        <w:spacing w:line="240" w:lineRule="auto"/>
        <w:ind w:right="-1267"/>
        <w:rPr>
          <w:rFonts w:cs="Times New Roman"/>
        </w:rPr>
      </w:pPr>
      <w:r w:rsidRPr="00AB7084">
        <w:rPr>
          <w:rFonts w:cs="Times New Roman"/>
        </w:rPr>
        <w:t>Music 7730, Introduction to Musicology, is being replaced by Music 6673, a half-semester course on the same topic that is to be paired with Music 6672, an analogous Introduction to Ethnomusicology. This pair of courses is complemented by a revised Music 8886, Theories and Methods in Musicology, which may be taken twice.</w:t>
      </w:r>
    </w:p>
    <w:p w14:paraId="0902B041" w14:textId="151CAB6C" w:rsidR="00A02608" w:rsidRPr="00AB7084" w:rsidRDefault="00A02608" w:rsidP="00AB7084">
      <w:pPr>
        <w:spacing w:line="240" w:lineRule="auto"/>
        <w:ind w:right="-1267"/>
        <w:rPr>
          <w:rFonts w:cs="Times New Roman"/>
        </w:rPr>
      </w:pPr>
      <w:r w:rsidRPr="00AB7084">
        <w:rPr>
          <w:rFonts w:cs="Times New Roman"/>
        </w:rPr>
        <w:t>Owing to a lack of faculty, or available faculty time, to teach them, the following courses are eliminated from the listed offerings: Music 7741, Studies in Music from 1600 to 1800; Music 8847, Development of Notation, 900-2600; Music 7787, Chinese Music; Music 7788, Music of the Arabic and Indian Traditions; Music 7785, Cognitive Ethnomusicology.</w:t>
      </w:r>
    </w:p>
    <w:p w14:paraId="47305301" w14:textId="0237D949" w:rsidR="00A02608" w:rsidRPr="00AB7084" w:rsidRDefault="004C7C96" w:rsidP="00AB7084">
      <w:pPr>
        <w:spacing w:line="240" w:lineRule="auto"/>
        <w:ind w:right="-1267"/>
        <w:rPr>
          <w:rFonts w:cs="Times New Roman"/>
          <w:u w:val="single"/>
        </w:rPr>
      </w:pPr>
      <w:r w:rsidRPr="00AB7084">
        <w:rPr>
          <w:rFonts w:cs="Times New Roman"/>
          <w:u w:val="single"/>
        </w:rPr>
        <w:t>O</w:t>
      </w:r>
      <w:r w:rsidR="00A02608" w:rsidRPr="00AB7084">
        <w:rPr>
          <w:rFonts w:cs="Times New Roman"/>
          <w:u w:val="single"/>
        </w:rPr>
        <w:t>rganizational changes to the program:</w:t>
      </w:r>
    </w:p>
    <w:p w14:paraId="75FB98E2" w14:textId="6AE83FA5" w:rsidR="00A02608" w:rsidRPr="00AB7084" w:rsidRDefault="00A02608" w:rsidP="00AB7084">
      <w:pPr>
        <w:spacing w:line="240" w:lineRule="auto"/>
        <w:ind w:right="-1267"/>
        <w:rPr>
          <w:rFonts w:cs="Times New Roman"/>
        </w:rPr>
      </w:pPr>
      <w:r w:rsidRPr="00AB7084">
        <w:rPr>
          <w:rFonts w:cs="Times New Roman"/>
        </w:rPr>
        <w:t>The categorical division of course offerings has been simplified through a new distinction between 'foundational,' 'supportive,' and 'related' studies that removes some of the traditional barriers between musicology and ethnomusicology. The introduction of variable credit-hour totals for each of these three categories permits a greater flexibility of choice, allowing students to take the courses that best fit their own Ph.D. trajectory.</w:t>
      </w:r>
    </w:p>
    <w:p w14:paraId="2B2C59C5" w14:textId="7B1D06F8" w:rsidR="00A02608" w:rsidRPr="00AB7084" w:rsidRDefault="00A02608" w:rsidP="00AB7084">
      <w:pPr>
        <w:spacing w:line="240" w:lineRule="auto"/>
        <w:ind w:right="-1267"/>
        <w:rPr>
          <w:rFonts w:cs="Times New Roman"/>
        </w:rPr>
      </w:pPr>
      <w:r w:rsidRPr="00AB7084">
        <w:rPr>
          <w:rFonts w:cs="Times New Roman"/>
        </w:rPr>
        <w:t xml:space="preserve">The 'Related Studies' description has been broadened in keeping with current academic interests and campus opportunities, and now includes an illustrative list of courses, most of which have been taken by </w:t>
      </w:r>
      <w:r w:rsidR="00E40780">
        <w:rPr>
          <w:rFonts w:cs="Times New Roman"/>
        </w:rPr>
        <w:t xml:space="preserve">their </w:t>
      </w:r>
      <w:r w:rsidRPr="00AB7084">
        <w:rPr>
          <w:rFonts w:cs="Times New Roman"/>
        </w:rPr>
        <w:t>students in recent years.</w:t>
      </w:r>
    </w:p>
    <w:p w14:paraId="4BE2E551" w14:textId="064BD507" w:rsidR="00A02608" w:rsidRPr="00AB7084" w:rsidRDefault="00A02608" w:rsidP="00AB7084">
      <w:pPr>
        <w:spacing w:line="240" w:lineRule="auto"/>
        <w:ind w:right="-1267"/>
        <w:rPr>
          <w:rFonts w:cs="Times New Roman"/>
        </w:rPr>
      </w:pPr>
      <w:r w:rsidRPr="00AB7084">
        <w:rPr>
          <w:rFonts w:cs="Times New Roman"/>
        </w:rPr>
        <w:t>The language requirement has been streamlined according to current disciplinary standards, but without essential changes.</w:t>
      </w:r>
    </w:p>
    <w:p w14:paraId="6AD4ECC3" w14:textId="5871201C" w:rsidR="007D4D77" w:rsidRPr="00AB7084" w:rsidRDefault="00A02608" w:rsidP="00AB7084">
      <w:pPr>
        <w:spacing w:line="240" w:lineRule="auto"/>
        <w:ind w:right="-1267"/>
        <w:rPr>
          <w:rFonts w:cs="Times New Roman"/>
        </w:rPr>
      </w:pPr>
      <w:r w:rsidRPr="00AB7084">
        <w:rPr>
          <w:rFonts w:cs="Times New Roman"/>
        </w:rPr>
        <w:t>The revised program meets the criteria for the PhD in Musicology discussed in the standards of the National Association of Schools of Music (NASM) accreditation body.</w:t>
      </w:r>
    </w:p>
    <w:p w14:paraId="57F3883B" w14:textId="6383ED89" w:rsidR="000E367C" w:rsidRPr="00AB7084" w:rsidRDefault="000E367C" w:rsidP="00AB7084">
      <w:pPr>
        <w:spacing w:line="240" w:lineRule="auto"/>
        <w:ind w:right="-1267"/>
        <w:rPr>
          <w:b/>
          <w:bCs/>
        </w:rPr>
      </w:pPr>
      <w:r w:rsidRPr="00AB7084">
        <w:rPr>
          <w:b/>
          <w:bCs/>
        </w:rPr>
        <w:t>Revision to the 'Post-Baccalaureate' Ph.D. Program in Musicology</w:t>
      </w:r>
    </w:p>
    <w:p w14:paraId="120CB89E" w14:textId="7E0D6137" w:rsidR="00AB7084" w:rsidRPr="00AB7084" w:rsidRDefault="000E367C" w:rsidP="00AB7084">
      <w:pPr>
        <w:spacing w:line="240" w:lineRule="auto"/>
        <w:ind w:right="-1267"/>
        <w:rPr>
          <w:rFonts w:cs="Times New Roman"/>
          <w:u w:val="single"/>
        </w:rPr>
      </w:pPr>
      <w:r w:rsidRPr="00AB7084">
        <w:rPr>
          <w:rFonts w:cs="Times New Roman"/>
        </w:rPr>
        <w:t xml:space="preserve">The present revisions to the program sheet reflect ongoing changes in the broader field of Musicology, as well as within the Musicology Area as </w:t>
      </w:r>
      <w:r w:rsidR="00AB7084" w:rsidRPr="00AB7084">
        <w:rPr>
          <w:rFonts w:cs="Times New Roman"/>
        </w:rPr>
        <w:t xml:space="preserve">the School of Music’s </w:t>
      </w:r>
      <w:r w:rsidRPr="00AB7084">
        <w:rPr>
          <w:rFonts w:cs="Times New Roman"/>
        </w:rPr>
        <w:t xml:space="preserve">faculty evolves. </w:t>
      </w:r>
      <w:proofErr w:type="gramStart"/>
      <w:r w:rsidRPr="00AB7084">
        <w:rPr>
          <w:rFonts w:cs="Times New Roman"/>
        </w:rPr>
        <w:t>With regard to</w:t>
      </w:r>
      <w:proofErr w:type="gramEnd"/>
      <w:r w:rsidRPr="00AB7084">
        <w:rPr>
          <w:rFonts w:cs="Times New Roman"/>
        </w:rPr>
        <w:t xml:space="preserve"> the latter, it also reflects </w:t>
      </w:r>
      <w:r w:rsidR="00AB7084" w:rsidRPr="00AB7084">
        <w:rPr>
          <w:rFonts w:cs="Times New Roman"/>
        </w:rPr>
        <w:t xml:space="preserve">their </w:t>
      </w:r>
      <w:r w:rsidRPr="00AB7084">
        <w:rPr>
          <w:rFonts w:cs="Times New Roman"/>
        </w:rPr>
        <w:t>reduced instructional cohort, given the retirement of four senior faculty members in the past decade, with no TT hires to replace them.</w:t>
      </w:r>
      <w:r w:rsidRPr="00AB7084">
        <w:rPr>
          <w:rFonts w:cs="Times New Roman"/>
        </w:rPr>
        <w:cr/>
      </w:r>
      <w:r w:rsidR="00E40780">
        <w:rPr>
          <w:rFonts w:cs="Times New Roman"/>
        </w:rPr>
        <w:lastRenderedPageBreak/>
        <w:br/>
      </w:r>
      <w:r w:rsidR="00AB7084" w:rsidRPr="00AB7084">
        <w:rPr>
          <w:rFonts w:cs="Times New Roman"/>
          <w:u w:val="single"/>
        </w:rPr>
        <w:t>Course changes to the program:</w:t>
      </w:r>
    </w:p>
    <w:p w14:paraId="4C38DC16" w14:textId="0932BAF2" w:rsidR="00AB7084" w:rsidRPr="00AB7084" w:rsidRDefault="00AB7084" w:rsidP="00AB7084">
      <w:pPr>
        <w:spacing w:line="240" w:lineRule="auto"/>
        <w:ind w:right="-1267"/>
        <w:rPr>
          <w:rFonts w:cs="Times New Roman"/>
        </w:rPr>
      </w:pPr>
      <w:r w:rsidRPr="00AB7084">
        <w:rPr>
          <w:rFonts w:cs="Times New Roman"/>
        </w:rPr>
        <w:t>Music 7730, Introduction to Musicology, is being replaced by Music 6673, a half-semester course on the same topic that is to be paired with Music 6672, an analogous Introduction to Ethnomusicology. This pair of courses is complemented by a revised Music 8886, Theories and Methods in Musicology, which may be taken twice.</w:t>
      </w:r>
    </w:p>
    <w:p w14:paraId="2D1E7DD1" w14:textId="2F858E5E" w:rsidR="00AB7084" w:rsidRPr="00AB7084" w:rsidRDefault="00AB7084" w:rsidP="00AB7084">
      <w:pPr>
        <w:spacing w:line="240" w:lineRule="auto"/>
        <w:ind w:right="-1267"/>
        <w:rPr>
          <w:rFonts w:cs="Times New Roman"/>
        </w:rPr>
      </w:pPr>
      <w:r w:rsidRPr="00AB7084">
        <w:rPr>
          <w:rFonts w:cs="Times New Roman"/>
        </w:rPr>
        <w:t>Music 7784, Introduction to Bibliography, is being eliminated, given the presence of Music 8886, Theories and Methods in Musicology, and the addition of Music 6895, Colloquium /Seminar in Music.</w:t>
      </w:r>
    </w:p>
    <w:p w14:paraId="380E994A" w14:textId="00E5DE63" w:rsidR="00AB7084" w:rsidRPr="00AB7084" w:rsidRDefault="00AB7084" w:rsidP="00AB7084">
      <w:pPr>
        <w:spacing w:line="240" w:lineRule="auto"/>
        <w:ind w:right="-1267"/>
        <w:rPr>
          <w:rFonts w:cs="Times New Roman"/>
        </w:rPr>
      </w:pPr>
      <w:r w:rsidRPr="00AB7084">
        <w:rPr>
          <w:rFonts w:cs="Times New Roman"/>
        </w:rPr>
        <w:t>Owing to a lack of faculty, or available faculty time, to teach them, the following courses are eliminated from the listed offerings: Music 7741, Studies in Music from 1600 to 1800; Music 8847, Development of Notation, 900-2600; Music 7787, Chinese Music; Music 7788, Music of the Arabic and Indian Traditions; Music 7785, Cognitive Ethnomusicology.</w:t>
      </w:r>
    </w:p>
    <w:p w14:paraId="231B8E6A" w14:textId="1E006CB1" w:rsidR="00AB7084" w:rsidRPr="00AB7084" w:rsidRDefault="00AB7084" w:rsidP="00AB7084">
      <w:pPr>
        <w:spacing w:line="240" w:lineRule="auto"/>
        <w:ind w:right="-1267"/>
        <w:rPr>
          <w:rFonts w:cs="Times New Roman"/>
          <w:u w:val="single"/>
        </w:rPr>
      </w:pPr>
      <w:r w:rsidRPr="00AB7084">
        <w:rPr>
          <w:rFonts w:cs="Times New Roman"/>
          <w:u w:val="single"/>
        </w:rPr>
        <w:t>Organizational changes to the program:</w:t>
      </w:r>
    </w:p>
    <w:p w14:paraId="2D655850" w14:textId="0C76468F" w:rsidR="00AB7084" w:rsidRPr="00AB7084" w:rsidRDefault="00AB7084" w:rsidP="00AB7084">
      <w:pPr>
        <w:spacing w:line="240" w:lineRule="auto"/>
        <w:ind w:right="-1267"/>
        <w:rPr>
          <w:rFonts w:cs="Times New Roman"/>
        </w:rPr>
      </w:pPr>
      <w:r w:rsidRPr="00AB7084">
        <w:rPr>
          <w:rFonts w:cs="Times New Roman"/>
        </w:rPr>
        <w:t>The categorical division of course offerings has been simplified through a new distinction between 'foundational,' 'supportive,' and 'related' studies that removes some of the traditional barriers between musicology and ethnomusicology. The introduction of variable credit-hour totals for each of these three categories permits a greater flexibility of choice, allowing students to take the courses that best fit their own Ph.D. trajectory.</w:t>
      </w:r>
    </w:p>
    <w:p w14:paraId="71FD5939" w14:textId="2178EE52" w:rsidR="00AB7084" w:rsidRPr="00AB7084" w:rsidRDefault="00AB7084" w:rsidP="00AB7084">
      <w:pPr>
        <w:spacing w:line="240" w:lineRule="auto"/>
        <w:ind w:right="-1267"/>
        <w:rPr>
          <w:rFonts w:cs="Times New Roman"/>
        </w:rPr>
      </w:pPr>
      <w:r w:rsidRPr="00AB7084">
        <w:rPr>
          <w:rFonts w:cs="Times New Roman"/>
        </w:rPr>
        <w:t xml:space="preserve">The 'Related Studies' description has been broadened in keeping with current academic interests and campus opportunities, and now includes an illustrative list of courses, most of which have been taken by </w:t>
      </w:r>
      <w:r w:rsidR="00E40780">
        <w:rPr>
          <w:rFonts w:cs="Times New Roman"/>
        </w:rPr>
        <w:t xml:space="preserve">their </w:t>
      </w:r>
      <w:r w:rsidRPr="00AB7084">
        <w:rPr>
          <w:rFonts w:cs="Times New Roman"/>
        </w:rPr>
        <w:t>students in recent years.</w:t>
      </w:r>
    </w:p>
    <w:p w14:paraId="1607C06E" w14:textId="6B11D3D7" w:rsidR="00AB7084" w:rsidRPr="00AB7084" w:rsidRDefault="00AB7084" w:rsidP="00AB7084">
      <w:pPr>
        <w:spacing w:line="240" w:lineRule="auto"/>
        <w:ind w:right="-1267"/>
        <w:rPr>
          <w:rFonts w:cs="Times New Roman"/>
        </w:rPr>
      </w:pPr>
      <w:r w:rsidRPr="00AB7084">
        <w:rPr>
          <w:rFonts w:cs="Times New Roman"/>
        </w:rPr>
        <w:t>The language requirement has been streamlined according to current disciplinary standards, but without essential changes.</w:t>
      </w:r>
    </w:p>
    <w:p w14:paraId="6E1CEACC" w14:textId="15C80108" w:rsidR="00AB7084" w:rsidRPr="00AB7084" w:rsidRDefault="00AB7084" w:rsidP="00AB7084">
      <w:pPr>
        <w:spacing w:line="240" w:lineRule="auto"/>
        <w:ind w:right="-1267"/>
        <w:rPr>
          <w:rFonts w:cs="Times New Roman"/>
        </w:rPr>
      </w:pPr>
      <w:r w:rsidRPr="00AB7084">
        <w:rPr>
          <w:rFonts w:cs="Times New Roman"/>
        </w:rPr>
        <w:t>Despite significant changes to the program, the Musicology faculty finds the revised program to be equally rigorous to the current program. In addition, the revised program meets the criteria for the PhD in Musicology discussed in the standards of the National Association of Schools of Music (NASM) accreditation body.</w:t>
      </w:r>
    </w:p>
    <w:p w14:paraId="44910D37" w14:textId="77777777" w:rsidR="00A02608" w:rsidRPr="00AB7084" w:rsidRDefault="00A02608" w:rsidP="00AB7084">
      <w:pPr>
        <w:spacing w:line="240" w:lineRule="auto"/>
        <w:ind w:right="-1267"/>
        <w:rPr>
          <w:rFonts w:cs="Times New Roman"/>
        </w:rPr>
      </w:pPr>
    </w:p>
    <w:p w14:paraId="7AEB87F4" w14:textId="32CA0FD6" w:rsidR="00770A16" w:rsidRPr="00AB7084" w:rsidRDefault="00770A16" w:rsidP="00AB7084">
      <w:pPr>
        <w:spacing w:line="240" w:lineRule="auto"/>
        <w:ind w:right="-1260"/>
        <w:rPr>
          <w:rFonts w:cs="Times New Roman"/>
        </w:rPr>
      </w:pPr>
      <w:r w:rsidRPr="00AB7084">
        <w:rPr>
          <w:rFonts w:cs="Times New Roman"/>
        </w:rPr>
        <w:t xml:space="preserve">We advance the proposed </w:t>
      </w:r>
      <w:r w:rsidR="00C77B94" w:rsidRPr="00AB7084">
        <w:rPr>
          <w:rFonts w:cs="Times New Roman"/>
        </w:rPr>
        <w:t>revisions</w:t>
      </w:r>
      <w:r w:rsidRPr="00AB7084">
        <w:rPr>
          <w:rFonts w:cs="Times New Roman"/>
        </w:rPr>
        <w:t xml:space="preserve"> to the Arts and Sciences Curriculum Committee with a motion to approve.</w:t>
      </w:r>
    </w:p>
    <w:p w14:paraId="101AA1EF" w14:textId="77777777" w:rsidR="006B707D" w:rsidRPr="00AB7084" w:rsidRDefault="006B707D" w:rsidP="00AB7084">
      <w:pPr>
        <w:spacing w:line="240" w:lineRule="auto"/>
        <w:ind w:right="-1260"/>
        <w:rPr>
          <w:rFonts w:cs="Times New Roman"/>
        </w:rPr>
      </w:pPr>
      <w:r w:rsidRPr="00AB7084">
        <w:rPr>
          <w:rFonts w:cs="Times New Roman"/>
        </w:rPr>
        <w:t>Sincerely,</w:t>
      </w:r>
    </w:p>
    <w:p w14:paraId="68C31813" w14:textId="77777777" w:rsidR="006B707D" w:rsidRPr="00AB7084" w:rsidRDefault="006B707D" w:rsidP="00AB7084">
      <w:pPr>
        <w:spacing w:line="240" w:lineRule="auto"/>
        <w:ind w:right="-1260"/>
        <w:rPr>
          <w:rFonts w:cs="Times New Roman"/>
        </w:rPr>
      </w:pPr>
      <w:r w:rsidRPr="00AB7084">
        <w:rPr>
          <w:rFonts w:cs="Times New Roman"/>
          <w:noProof/>
        </w:rPr>
        <w:drawing>
          <wp:inline distT="0" distB="0" distL="0" distR="0" wp14:anchorId="7BF72A17" wp14:editId="5416A7BE">
            <wp:extent cx="1914525" cy="574358"/>
            <wp:effectExtent l="0" t="0" r="0" b="0"/>
            <wp:docPr id="2" name="Picture 0" descr="Electronic_Signi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ronic_Signiture.jpg"/>
                    <pic:cNvPicPr/>
                  </pic:nvPicPr>
                  <pic:blipFill>
                    <a:blip r:embed="rId7" cstate="print"/>
                    <a:stretch>
                      <a:fillRect/>
                    </a:stretch>
                  </pic:blipFill>
                  <pic:spPr>
                    <a:xfrm>
                      <a:off x="0" y="0"/>
                      <a:ext cx="1932962" cy="579889"/>
                    </a:xfrm>
                    <a:prstGeom prst="rect">
                      <a:avLst/>
                    </a:prstGeom>
                  </pic:spPr>
                </pic:pic>
              </a:graphicData>
            </a:graphic>
          </wp:inline>
        </w:drawing>
      </w:r>
    </w:p>
    <w:p w14:paraId="1F7F9155" w14:textId="46F64560" w:rsidR="000D06A6" w:rsidRPr="00AB7084" w:rsidRDefault="006B707D" w:rsidP="00AB7084">
      <w:pPr>
        <w:spacing w:line="240" w:lineRule="auto"/>
        <w:ind w:right="-1260"/>
      </w:pPr>
      <w:r w:rsidRPr="00AB7084">
        <w:rPr>
          <w:rFonts w:cs="Times New Roman"/>
        </w:rPr>
        <w:t>David J. Staley, Ph.D.</w:t>
      </w:r>
      <w:r w:rsidRPr="00AB7084">
        <w:rPr>
          <w:rFonts w:cs="Times New Roman"/>
        </w:rPr>
        <w:br/>
        <w:t>Associate Professor of History</w:t>
      </w:r>
      <w:r w:rsidR="00770A16" w:rsidRPr="00AB7084">
        <w:rPr>
          <w:rFonts w:cs="Times New Roman"/>
        </w:rPr>
        <w:br/>
        <w:t>Faculty chair, ASCC Arts &amp; Humanities Panel 1</w:t>
      </w:r>
    </w:p>
    <w:sectPr w:rsidR="000D06A6" w:rsidRPr="00AB7084" w:rsidSect="00D3549F">
      <w:headerReference w:type="default" r:id="rId8"/>
      <w:headerReference w:type="first" r:id="rId9"/>
      <w:pgSz w:w="12240" w:h="15840" w:code="1"/>
      <w:pgMar w:top="2184" w:right="252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A6125" w14:textId="77777777" w:rsidR="0023554D" w:rsidRDefault="0023554D" w:rsidP="00F0736E">
      <w:pPr>
        <w:spacing w:after="0" w:line="240" w:lineRule="auto"/>
      </w:pPr>
      <w:r>
        <w:separator/>
      </w:r>
    </w:p>
  </w:endnote>
  <w:endnote w:type="continuationSeparator" w:id="0">
    <w:p w14:paraId="20A04FC2" w14:textId="77777777" w:rsidR="0023554D" w:rsidRDefault="0023554D" w:rsidP="00F07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E00002AF" w:usb1="5000E07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A0F7F" w14:textId="77777777" w:rsidR="0023554D" w:rsidRDefault="0023554D" w:rsidP="00F0736E">
      <w:pPr>
        <w:spacing w:after="0" w:line="240" w:lineRule="auto"/>
      </w:pPr>
      <w:r>
        <w:separator/>
      </w:r>
    </w:p>
  </w:footnote>
  <w:footnote w:type="continuationSeparator" w:id="0">
    <w:p w14:paraId="7C3EC31F" w14:textId="77777777" w:rsidR="0023554D" w:rsidRDefault="0023554D" w:rsidP="00F073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3141D" w14:textId="77777777" w:rsidR="00D317B0" w:rsidRPr="009A7561" w:rsidRDefault="00D317B0" w:rsidP="00A80479">
    <w:pPr>
      <w:pStyle w:val="Header"/>
      <w:tabs>
        <w:tab w:val="clear" w:pos="4680"/>
        <w:tab w:val="clear" w:pos="9360"/>
      </w:tabs>
      <w:ind w:hanging="720"/>
      <w:rPr>
        <w:rFonts w:ascii="Arial" w:hAnsi="Arial"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E34B1" w14:textId="77777777" w:rsidR="00D317B0" w:rsidRPr="009A7561" w:rsidRDefault="00D317B0" w:rsidP="001100B3">
    <w:pPr>
      <w:pStyle w:val="Header"/>
      <w:tabs>
        <w:tab w:val="clear" w:pos="4680"/>
        <w:tab w:val="clear" w:pos="9360"/>
      </w:tabs>
      <w:ind w:hanging="720"/>
      <w:rPr>
        <w:rFonts w:ascii="Arial" w:hAnsi="Arial" w:cs="Arial"/>
        <w:sz w:val="18"/>
        <w:szCs w:val="18"/>
      </w:rPr>
    </w:pPr>
    <w:r>
      <w:rPr>
        <w:rFonts w:ascii="Arial" w:hAnsi="Arial" w:cs="Arial"/>
        <w:noProof/>
        <w:color w:val="666666"/>
        <w:sz w:val="18"/>
        <w:szCs w:val="18"/>
      </w:rPr>
      <mc:AlternateContent>
        <mc:Choice Requires="wps">
          <w:drawing>
            <wp:anchor distT="0" distB="0" distL="114300" distR="114300" simplePos="0" relativeHeight="251664384" behindDoc="0" locked="0" layoutInCell="1" allowOverlap="1" wp14:anchorId="06B6F67A" wp14:editId="341A6663">
              <wp:simplePos x="0" y="0"/>
              <wp:positionH relativeFrom="rightMargin">
                <wp:posOffset>-2419350</wp:posOffset>
              </wp:positionH>
              <wp:positionV relativeFrom="paragraph">
                <wp:posOffset>95250</wp:posOffset>
              </wp:positionV>
              <wp:extent cx="3657600" cy="13525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657600" cy="1352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BD390A" w14:textId="77777777" w:rsidR="00D317B0" w:rsidRPr="00047CE5" w:rsidRDefault="00B526E7" w:rsidP="00B526E7">
                          <w:pPr>
                            <w:spacing w:after="0" w:line="240" w:lineRule="auto"/>
                            <w:ind w:right="-27"/>
                            <w:jc w:val="right"/>
                            <w:rPr>
                              <w:rFonts w:ascii="Arial" w:hAnsi="Arial" w:cs="Arial"/>
                              <w:color w:val="BB0000"/>
                              <w:sz w:val="18"/>
                              <w:szCs w:val="18"/>
                            </w:rPr>
                          </w:pPr>
                          <w:r>
                            <w:rPr>
                              <w:rFonts w:ascii="Arial" w:hAnsi="Arial" w:cs="Arial"/>
                              <w:b/>
                              <w:color w:val="BB0000"/>
                              <w:sz w:val="18"/>
                              <w:szCs w:val="18"/>
                            </w:rPr>
                            <w:t>Department of History</w:t>
                          </w:r>
                        </w:p>
                        <w:p w14:paraId="2B41F752" w14:textId="77777777" w:rsidR="00D317B0" w:rsidRPr="00047CE5" w:rsidRDefault="00D317B0" w:rsidP="000048AD">
                          <w:pPr>
                            <w:spacing w:after="0" w:line="180" w:lineRule="exact"/>
                            <w:ind w:right="-27"/>
                            <w:jc w:val="right"/>
                            <w:rPr>
                              <w:rFonts w:ascii="Arial" w:hAnsi="Arial" w:cs="Arial"/>
                              <w:color w:val="666666"/>
                              <w:sz w:val="18"/>
                              <w:szCs w:val="18"/>
                            </w:rPr>
                          </w:pPr>
                        </w:p>
                        <w:p w14:paraId="1CB9D198" w14:textId="77777777" w:rsidR="00D317B0" w:rsidRDefault="00B526E7" w:rsidP="000048AD">
                          <w:pPr>
                            <w:spacing w:after="0" w:line="240" w:lineRule="auto"/>
                            <w:ind w:right="-27"/>
                            <w:jc w:val="right"/>
                            <w:rPr>
                              <w:rFonts w:ascii="Arial" w:hAnsi="Arial" w:cs="Arial"/>
                              <w:color w:val="666666"/>
                              <w:sz w:val="18"/>
                              <w:szCs w:val="18"/>
                            </w:rPr>
                          </w:pPr>
                          <w:r>
                            <w:rPr>
                              <w:rFonts w:ascii="Arial" w:hAnsi="Arial" w:cs="Arial"/>
                              <w:color w:val="666666"/>
                              <w:sz w:val="18"/>
                              <w:szCs w:val="18"/>
                            </w:rPr>
                            <w:t>210 Dulles Hall</w:t>
                          </w:r>
                        </w:p>
                        <w:p w14:paraId="1FAA6EAA" w14:textId="77777777" w:rsidR="00D317B0" w:rsidRDefault="00B526E7" w:rsidP="000048AD">
                          <w:pPr>
                            <w:spacing w:after="0" w:line="240" w:lineRule="auto"/>
                            <w:ind w:right="-27"/>
                            <w:jc w:val="right"/>
                            <w:rPr>
                              <w:rFonts w:ascii="Arial" w:hAnsi="Arial" w:cs="Arial"/>
                              <w:color w:val="666666"/>
                              <w:sz w:val="18"/>
                              <w:szCs w:val="18"/>
                            </w:rPr>
                          </w:pPr>
                          <w:r>
                            <w:rPr>
                              <w:rFonts w:ascii="Arial" w:hAnsi="Arial" w:cs="Arial"/>
                              <w:color w:val="666666"/>
                              <w:sz w:val="18"/>
                              <w:szCs w:val="18"/>
                            </w:rPr>
                            <w:t>230 Annie and John Glenn Avenue</w:t>
                          </w:r>
                        </w:p>
                        <w:p w14:paraId="68643D4E" w14:textId="77777777" w:rsidR="00D317B0" w:rsidRPr="00047CE5" w:rsidRDefault="00D317B0" w:rsidP="000048AD">
                          <w:pPr>
                            <w:spacing w:after="0" w:line="240" w:lineRule="auto"/>
                            <w:ind w:right="-27"/>
                            <w:jc w:val="right"/>
                            <w:rPr>
                              <w:rFonts w:ascii="Arial" w:hAnsi="Arial" w:cs="Arial"/>
                              <w:color w:val="666666"/>
                              <w:sz w:val="18"/>
                              <w:szCs w:val="18"/>
                            </w:rPr>
                          </w:pPr>
                          <w:r>
                            <w:rPr>
                              <w:rFonts w:ascii="Arial" w:hAnsi="Arial" w:cs="Arial"/>
                              <w:color w:val="666666"/>
                              <w:sz w:val="18"/>
                              <w:szCs w:val="18"/>
                            </w:rPr>
                            <w:t>Columbus, Ohio 43210</w:t>
                          </w:r>
                        </w:p>
                        <w:p w14:paraId="6890D976" w14:textId="77777777" w:rsidR="00D317B0" w:rsidRPr="00047CE5" w:rsidRDefault="00D317B0" w:rsidP="000048AD">
                          <w:pPr>
                            <w:spacing w:after="0" w:line="180" w:lineRule="exact"/>
                            <w:ind w:right="-27"/>
                            <w:jc w:val="right"/>
                            <w:rPr>
                              <w:rFonts w:ascii="Arial" w:hAnsi="Arial" w:cs="Arial"/>
                              <w:color w:val="666666"/>
                              <w:sz w:val="18"/>
                              <w:szCs w:val="18"/>
                            </w:rPr>
                          </w:pPr>
                        </w:p>
                        <w:p w14:paraId="17F374F0" w14:textId="77777777" w:rsidR="00D317B0" w:rsidRDefault="00D317B0" w:rsidP="000048AD">
                          <w:pPr>
                            <w:spacing w:after="0" w:line="240" w:lineRule="auto"/>
                            <w:ind w:right="-27"/>
                            <w:jc w:val="right"/>
                            <w:rPr>
                              <w:rFonts w:ascii="Arial" w:hAnsi="Arial" w:cs="Arial"/>
                              <w:color w:val="666666"/>
                              <w:sz w:val="18"/>
                              <w:szCs w:val="18"/>
                            </w:rPr>
                          </w:pPr>
                          <w:r>
                            <w:rPr>
                              <w:rFonts w:ascii="Arial" w:hAnsi="Arial" w:cs="Arial"/>
                              <w:color w:val="666666"/>
                              <w:sz w:val="18"/>
                              <w:szCs w:val="18"/>
                            </w:rPr>
                            <w:t>614-292-</w:t>
                          </w:r>
                          <w:proofErr w:type="gramStart"/>
                          <w:r>
                            <w:rPr>
                              <w:rFonts w:ascii="Arial" w:hAnsi="Arial" w:cs="Arial"/>
                              <w:color w:val="666666"/>
                              <w:sz w:val="18"/>
                              <w:szCs w:val="18"/>
                            </w:rPr>
                            <w:t>5344</w:t>
                          </w:r>
                          <w:r w:rsidRPr="00047CE5">
                            <w:rPr>
                              <w:rFonts w:ascii="Arial" w:hAnsi="Arial" w:cs="Arial"/>
                              <w:color w:val="666666"/>
                              <w:sz w:val="18"/>
                              <w:szCs w:val="18"/>
                            </w:rPr>
                            <w:t xml:space="preserve">  Phone</w:t>
                          </w:r>
                          <w:proofErr w:type="gramEnd"/>
                        </w:p>
                        <w:p w14:paraId="71D9D255" w14:textId="77777777" w:rsidR="00D317B0" w:rsidRPr="00047CE5" w:rsidRDefault="00D317B0" w:rsidP="000048AD">
                          <w:pPr>
                            <w:spacing w:after="0" w:line="240" w:lineRule="auto"/>
                            <w:ind w:right="-27"/>
                            <w:jc w:val="right"/>
                            <w:rPr>
                              <w:rFonts w:ascii="Arial" w:hAnsi="Arial" w:cs="Arial"/>
                              <w:color w:val="666666"/>
                              <w:sz w:val="18"/>
                              <w:szCs w:val="18"/>
                            </w:rPr>
                          </w:pPr>
                          <w:r>
                            <w:rPr>
                              <w:rFonts w:ascii="Arial" w:hAnsi="Arial" w:cs="Arial"/>
                              <w:color w:val="666666"/>
                              <w:sz w:val="18"/>
                              <w:szCs w:val="18"/>
                            </w:rPr>
                            <w:t>staley.3@osu.edu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B6F67A" id="_x0000_t202" coordsize="21600,21600" o:spt="202" path="m,l,21600r21600,l21600,xe">
              <v:stroke joinstyle="miter"/>
              <v:path gradientshapeok="t" o:connecttype="rect"/>
            </v:shapetype>
            <v:shape id="Text Box 1" o:spid="_x0000_s1026" type="#_x0000_t202" style="position:absolute;margin-left:-190.5pt;margin-top:7.5pt;width:4in;height:106.5pt;z-index:251664384;visibility:visible;mso-wrap-style:squar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" filled="f" stroked="f" strokeweight=".5pt">
              <v:textbox>
                <w:txbxContent>
                  <w:p w14:paraId="39BD390A" w14:textId="77777777" w:rsidR="00D317B0" w:rsidRPr="00047CE5" w:rsidRDefault="00B526E7" w:rsidP="00B526E7">
                    <w:pPr>
                      <w:spacing w:after="0" w:line="240" w:lineRule="auto"/>
                      <w:ind w:right="-27"/>
                      <w:jc w:val="right"/>
                      <w:rPr>
                        <w:rFonts w:ascii="Arial" w:hAnsi="Arial" w:cs="Arial"/>
                        <w:color w:val="BB0000"/>
                        <w:sz w:val="18"/>
                        <w:szCs w:val="18"/>
                      </w:rPr>
                    </w:pPr>
                    <w:r>
                      <w:rPr>
                        <w:rFonts w:ascii="Arial" w:hAnsi="Arial" w:cs="Arial"/>
                        <w:b/>
                        <w:color w:val="BB0000"/>
                        <w:sz w:val="18"/>
                        <w:szCs w:val="18"/>
                      </w:rPr>
                      <w:t>Department of History</w:t>
                    </w:r>
                  </w:p>
                  <w:p w14:paraId="2B41F752" w14:textId="77777777" w:rsidR="00D317B0" w:rsidRPr="00047CE5" w:rsidRDefault="00D317B0" w:rsidP="000048AD">
                    <w:pPr>
                      <w:spacing w:after="0" w:line="180" w:lineRule="exact"/>
                      <w:ind w:right="-27"/>
                      <w:jc w:val="right"/>
                      <w:rPr>
                        <w:rFonts w:ascii="Arial" w:hAnsi="Arial" w:cs="Arial"/>
                        <w:color w:val="666666"/>
                        <w:sz w:val="18"/>
                        <w:szCs w:val="18"/>
                      </w:rPr>
                    </w:pPr>
                  </w:p>
                  <w:p w14:paraId="1CB9D198" w14:textId="77777777" w:rsidR="00D317B0" w:rsidRDefault="00B526E7" w:rsidP="000048AD">
                    <w:pPr>
                      <w:spacing w:after="0" w:line="240" w:lineRule="auto"/>
                      <w:ind w:right="-27"/>
                      <w:jc w:val="right"/>
                      <w:rPr>
                        <w:rFonts w:ascii="Arial" w:hAnsi="Arial" w:cs="Arial"/>
                        <w:color w:val="666666"/>
                        <w:sz w:val="18"/>
                        <w:szCs w:val="18"/>
                      </w:rPr>
                    </w:pPr>
                    <w:r>
                      <w:rPr>
                        <w:rFonts w:ascii="Arial" w:hAnsi="Arial" w:cs="Arial"/>
                        <w:color w:val="666666"/>
                        <w:sz w:val="18"/>
                        <w:szCs w:val="18"/>
                      </w:rPr>
                      <w:t>210 Dulles Hall</w:t>
                    </w:r>
                  </w:p>
                  <w:p w14:paraId="1FAA6EAA" w14:textId="77777777" w:rsidR="00D317B0" w:rsidRDefault="00B526E7" w:rsidP="000048AD">
                    <w:pPr>
                      <w:spacing w:after="0" w:line="240" w:lineRule="auto"/>
                      <w:ind w:right="-27"/>
                      <w:jc w:val="right"/>
                      <w:rPr>
                        <w:rFonts w:ascii="Arial" w:hAnsi="Arial" w:cs="Arial"/>
                        <w:color w:val="666666"/>
                        <w:sz w:val="18"/>
                        <w:szCs w:val="18"/>
                      </w:rPr>
                    </w:pPr>
                    <w:r>
                      <w:rPr>
                        <w:rFonts w:ascii="Arial" w:hAnsi="Arial" w:cs="Arial"/>
                        <w:color w:val="666666"/>
                        <w:sz w:val="18"/>
                        <w:szCs w:val="18"/>
                      </w:rPr>
                      <w:t>230 Annie and John Glenn Avenue</w:t>
                    </w:r>
                  </w:p>
                  <w:p w14:paraId="68643D4E" w14:textId="77777777" w:rsidR="00D317B0" w:rsidRPr="00047CE5" w:rsidRDefault="00D317B0" w:rsidP="000048AD">
                    <w:pPr>
                      <w:spacing w:after="0" w:line="240" w:lineRule="auto"/>
                      <w:ind w:right="-27"/>
                      <w:jc w:val="right"/>
                      <w:rPr>
                        <w:rFonts w:ascii="Arial" w:hAnsi="Arial" w:cs="Arial"/>
                        <w:color w:val="666666"/>
                        <w:sz w:val="18"/>
                        <w:szCs w:val="18"/>
                      </w:rPr>
                    </w:pPr>
                    <w:r>
                      <w:rPr>
                        <w:rFonts w:ascii="Arial" w:hAnsi="Arial" w:cs="Arial"/>
                        <w:color w:val="666666"/>
                        <w:sz w:val="18"/>
                        <w:szCs w:val="18"/>
                      </w:rPr>
                      <w:t>Columbus, Ohio 43210</w:t>
                    </w:r>
                  </w:p>
                  <w:p w14:paraId="6890D976" w14:textId="77777777" w:rsidR="00D317B0" w:rsidRPr="00047CE5" w:rsidRDefault="00D317B0" w:rsidP="000048AD">
                    <w:pPr>
                      <w:spacing w:after="0" w:line="180" w:lineRule="exact"/>
                      <w:ind w:right="-27"/>
                      <w:jc w:val="right"/>
                      <w:rPr>
                        <w:rFonts w:ascii="Arial" w:hAnsi="Arial" w:cs="Arial"/>
                        <w:color w:val="666666"/>
                        <w:sz w:val="18"/>
                        <w:szCs w:val="18"/>
                      </w:rPr>
                    </w:pPr>
                  </w:p>
                  <w:p w14:paraId="17F374F0" w14:textId="77777777" w:rsidR="00D317B0" w:rsidRDefault="00D317B0" w:rsidP="000048AD">
                    <w:pPr>
                      <w:spacing w:after="0" w:line="240" w:lineRule="auto"/>
                      <w:ind w:right="-27"/>
                      <w:jc w:val="right"/>
                      <w:rPr>
                        <w:rFonts w:ascii="Arial" w:hAnsi="Arial" w:cs="Arial"/>
                        <w:color w:val="666666"/>
                        <w:sz w:val="18"/>
                        <w:szCs w:val="18"/>
                      </w:rPr>
                    </w:pPr>
                    <w:r>
                      <w:rPr>
                        <w:rFonts w:ascii="Arial" w:hAnsi="Arial" w:cs="Arial"/>
                        <w:color w:val="666666"/>
                        <w:sz w:val="18"/>
                        <w:szCs w:val="18"/>
                      </w:rPr>
                      <w:t>614-292-5344</w:t>
                    </w:r>
                    <w:r w:rsidRPr="00047CE5">
                      <w:rPr>
                        <w:rFonts w:ascii="Arial" w:hAnsi="Arial" w:cs="Arial"/>
                        <w:color w:val="666666"/>
                        <w:sz w:val="18"/>
                        <w:szCs w:val="18"/>
                      </w:rPr>
                      <w:t xml:space="preserve">  Phone</w:t>
                    </w:r>
                  </w:p>
                  <w:p w14:paraId="71D9D255" w14:textId="77777777" w:rsidR="00D317B0" w:rsidRPr="00047CE5" w:rsidRDefault="00D317B0" w:rsidP="000048AD">
                    <w:pPr>
                      <w:spacing w:after="0" w:line="240" w:lineRule="auto"/>
                      <w:ind w:right="-27"/>
                      <w:jc w:val="right"/>
                      <w:rPr>
                        <w:rFonts w:ascii="Arial" w:hAnsi="Arial" w:cs="Arial"/>
                        <w:color w:val="666666"/>
                        <w:sz w:val="18"/>
                        <w:szCs w:val="18"/>
                      </w:rPr>
                    </w:pPr>
                    <w:r>
                      <w:rPr>
                        <w:rFonts w:ascii="Arial" w:hAnsi="Arial" w:cs="Arial"/>
                        <w:color w:val="666666"/>
                        <w:sz w:val="18"/>
                        <w:szCs w:val="18"/>
                      </w:rPr>
                      <w:t>staley.3@osu.edu</w:t>
                    </w:r>
                  </w:p>
                </w:txbxContent>
              </v:textbox>
              <w10:wrap type="square" anchorx="margin"/>
            </v:shape>
          </w:pict>
        </mc:Fallback>
      </mc:AlternateContent>
    </w:r>
    <w:r w:rsidRPr="00715940">
      <w:rPr>
        <w:rFonts w:ascii="Arial" w:hAnsi="Arial" w:cs="Arial"/>
        <w:noProof/>
        <w:sz w:val="18"/>
        <w:szCs w:val="18"/>
      </w:rPr>
      <w:drawing>
        <wp:anchor distT="0" distB="0" distL="114300" distR="114300" simplePos="0" relativeHeight="251665408" behindDoc="0" locked="0" layoutInCell="1" allowOverlap="1" wp14:anchorId="73D6A30D" wp14:editId="0C3A27AE">
          <wp:simplePos x="0" y="0"/>
          <wp:positionH relativeFrom="column">
            <wp:posOffset>-419100</wp:posOffset>
          </wp:positionH>
          <wp:positionV relativeFrom="paragraph">
            <wp:posOffset>0</wp:posOffset>
          </wp:positionV>
          <wp:extent cx="3190875" cy="456565"/>
          <wp:effectExtent l="0" t="0" r="9525" b="6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OhioStateUniversity-2C-Horiz-PANTO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90875" cy="456565"/>
                  </a:xfrm>
                  <a:prstGeom prst="rect">
                    <a:avLst/>
                  </a:prstGeom>
                </pic:spPr>
              </pic:pic>
            </a:graphicData>
          </a:graphic>
        </wp:anchor>
      </w:drawing>
    </w:r>
  </w:p>
  <w:p w14:paraId="40182B1D" w14:textId="77777777" w:rsidR="00D317B0" w:rsidRDefault="00D317B0" w:rsidP="00286D2C">
    <w:pPr>
      <w:pStyle w:val="Header"/>
      <w:tabs>
        <w:tab w:val="clear" w:pos="4680"/>
        <w:tab w:val="clear" w:pos="9360"/>
      </w:tabs>
      <w:spacing w:line="180" w:lineRule="exact"/>
      <w:ind w:right="-1818"/>
      <w:rPr>
        <w:rFonts w:ascii="Arial" w:hAnsi="Arial" w:cs="Arial"/>
        <w:noProof/>
        <w:sz w:val="18"/>
        <w:szCs w:val="18"/>
      </w:rPr>
    </w:pPr>
  </w:p>
  <w:p w14:paraId="7A3AD5F1" w14:textId="77777777" w:rsidR="00D317B0" w:rsidRDefault="00D317B0" w:rsidP="00286D2C">
    <w:pPr>
      <w:pStyle w:val="Header"/>
      <w:tabs>
        <w:tab w:val="clear" w:pos="4680"/>
        <w:tab w:val="clear" w:pos="9360"/>
      </w:tabs>
      <w:spacing w:line="180" w:lineRule="exact"/>
      <w:rPr>
        <w:rFonts w:ascii="Arial" w:hAnsi="Arial" w:cs="Arial"/>
        <w:noProof/>
        <w:sz w:val="18"/>
        <w:szCs w:val="18"/>
      </w:rPr>
    </w:pPr>
  </w:p>
  <w:p w14:paraId="3E2E79A9" w14:textId="77777777" w:rsidR="00D317B0" w:rsidRDefault="00D317B0" w:rsidP="00A70915">
    <w:pPr>
      <w:pStyle w:val="Header"/>
      <w:tabs>
        <w:tab w:val="clear" w:pos="4680"/>
        <w:tab w:val="clear" w:pos="9360"/>
      </w:tabs>
      <w:spacing w:line="180" w:lineRule="exact"/>
      <w:rPr>
        <w:rFonts w:ascii="Arial" w:hAnsi="Arial" w:cs="Arial"/>
        <w:b/>
        <w:color w:val="BB0000"/>
        <w:sz w:val="18"/>
        <w:szCs w:val="18"/>
      </w:rPr>
    </w:pPr>
  </w:p>
  <w:p w14:paraId="17FE0CA8" w14:textId="77777777" w:rsidR="00D317B0" w:rsidRDefault="00D317B0" w:rsidP="00A70915">
    <w:pPr>
      <w:pStyle w:val="Header"/>
      <w:tabs>
        <w:tab w:val="clear" w:pos="4680"/>
        <w:tab w:val="clear" w:pos="9360"/>
      </w:tabs>
      <w:spacing w:line="180" w:lineRule="exact"/>
      <w:rPr>
        <w:rFonts w:ascii="Arial" w:hAnsi="Arial" w:cs="Arial"/>
        <w:b/>
        <w:color w:val="BB0000"/>
        <w:sz w:val="18"/>
        <w:szCs w:val="18"/>
      </w:rPr>
    </w:pPr>
  </w:p>
  <w:p w14:paraId="08384EB8" w14:textId="77777777" w:rsidR="00D317B0" w:rsidRDefault="00D317B0" w:rsidP="00A70915">
    <w:pPr>
      <w:pStyle w:val="Header"/>
      <w:tabs>
        <w:tab w:val="clear" w:pos="4680"/>
        <w:tab w:val="clear" w:pos="9360"/>
      </w:tabs>
      <w:spacing w:line="180" w:lineRule="exact"/>
      <w:rPr>
        <w:rFonts w:ascii="Arial" w:hAnsi="Arial" w:cs="Arial"/>
        <w:b/>
        <w:color w:val="BB0000"/>
        <w:sz w:val="18"/>
        <w:szCs w:val="18"/>
      </w:rPr>
    </w:pPr>
  </w:p>
  <w:p w14:paraId="73309978" w14:textId="77777777" w:rsidR="00D317B0" w:rsidRDefault="00D317B0" w:rsidP="00A70915">
    <w:pPr>
      <w:pStyle w:val="Header"/>
      <w:tabs>
        <w:tab w:val="clear" w:pos="4680"/>
        <w:tab w:val="clear" w:pos="9360"/>
      </w:tabs>
      <w:spacing w:line="180" w:lineRule="exact"/>
      <w:rPr>
        <w:rFonts w:ascii="Arial" w:hAnsi="Arial" w:cs="Arial"/>
        <w:b/>
        <w:color w:val="BB0000"/>
        <w:sz w:val="18"/>
        <w:szCs w:val="18"/>
      </w:rPr>
    </w:pPr>
  </w:p>
  <w:p w14:paraId="2A7C8C60" w14:textId="77777777" w:rsidR="00D317B0" w:rsidRDefault="00D317B0" w:rsidP="00A70915">
    <w:pPr>
      <w:pStyle w:val="Header"/>
      <w:tabs>
        <w:tab w:val="clear" w:pos="4680"/>
        <w:tab w:val="clear" w:pos="9360"/>
      </w:tabs>
      <w:spacing w:line="180" w:lineRule="exact"/>
      <w:rPr>
        <w:rFonts w:ascii="Arial" w:hAnsi="Arial" w:cs="Arial"/>
        <w:b/>
        <w:color w:val="BB0000"/>
        <w:sz w:val="18"/>
        <w:szCs w:val="18"/>
      </w:rPr>
    </w:pPr>
  </w:p>
  <w:p w14:paraId="07221B6A" w14:textId="77777777" w:rsidR="00D317B0" w:rsidRPr="000048AD" w:rsidRDefault="00D317B0" w:rsidP="00A70915">
    <w:pPr>
      <w:pStyle w:val="Header"/>
      <w:tabs>
        <w:tab w:val="clear" w:pos="4680"/>
        <w:tab w:val="clear" w:pos="9360"/>
      </w:tabs>
      <w:spacing w:line="180" w:lineRule="exact"/>
      <w:rPr>
        <w:rFonts w:ascii="Arial" w:hAnsi="Arial" w:cs="Arial"/>
        <w:b/>
        <w:color w:val="BB0000"/>
        <w:sz w:val="18"/>
        <w:szCs w:val="18"/>
      </w:rPr>
    </w:pPr>
    <w:r>
      <w:rPr>
        <w:rFonts w:ascii="Arial" w:hAnsi="Arial" w:cs="Arial"/>
        <w:noProof/>
        <w:sz w:val="18"/>
        <w:szCs w:val="18"/>
      </w:rPr>
      <mc:AlternateContent>
        <mc:Choice Requires="wps">
          <w:drawing>
            <wp:anchor distT="0" distB="0" distL="114300" distR="114300" simplePos="0" relativeHeight="251663360" behindDoc="0" locked="0" layoutInCell="1" allowOverlap="1" wp14:anchorId="2E10FEBA" wp14:editId="5D08E81B">
              <wp:simplePos x="0" y="0"/>
              <wp:positionH relativeFrom="column">
                <wp:posOffset>-3565779</wp:posOffset>
              </wp:positionH>
              <wp:positionV relativeFrom="paragraph">
                <wp:posOffset>-1270</wp:posOffset>
              </wp:positionV>
              <wp:extent cx="2493645" cy="0"/>
              <wp:effectExtent l="0" t="0" r="20955" b="19050"/>
              <wp:wrapNone/>
              <wp:docPr id="10" name="Straight Connector 10"/>
              <wp:cNvGraphicFramePr/>
              <a:graphic xmlns:a="http://schemas.openxmlformats.org/drawingml/2006/main">
                <a:graphicData uri="http://schemas.microsoft.com/office/word/2010/wordprocessingShape">
                  <wps:wsp>
                    <wps:cNvCnPr/>
                    <wps:spPr>
                      <a:xfrm>
                        <a:off x="0" y="0"/>
                        <a:ext cx="24936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B13115" id="Straight Connector 1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80.75pt,-.1pt" to="-84.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" strokecolor="#b60000 [3044]"/>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F7A8A"/>
    <w:multiLevelType w:val="hybridMultilevel"/>
    <w:tmpl w:val="A7723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363F7D"/>
    <w:multiLevelType w:val="hybridMultilevel"/>
    <w:tmpl w:val="D6C4D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041730"/>
    <w:multiLevelType w:val="hybridMultilevel"/>
    <w:tmpl w:val="6D0CF41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87"/>
  <w:drawingGridVerticalSpacing w:val="18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1B5"/>
    <w:rsid w:val="00001342"/>
    <w:rsid w:val="000048AD"/>
    <w:rsid w:val="00021F47"/>
    <w:rsid w:val="00026C4C"/>
    <w:rsid w:val="000341A3"/>
    <w:rsid w:val="00035778"/>
    <w:rsid w:val="000457AC"/>
    <w:rsid w:val="00047CE5"/>
    <w:rsid w:val="0005076B"/>
    <w:rsid w:val="00052337"/>
    <w:rsid w:val="000528C4"/>
    <w:rsid w:val="00084F3C"/>
    <w:rsid w:val="000A1D0F"/>
    <w:rsid w:val="000A4183"/>
    <w:rsid w:val="000B3B4C"/>
    <w:rsid w:val="000D06A6"/>
    <w:rsid w:val="000D07DC"/>
    <w:rsid w:val="000E367C"/>
    <w:rsid w:val="000F1BE2"/>
    <w:rsid w:val="001044F0"/>
    <w:rsid w:val="001100B3"/>
    <w:rsid w:val="00111B42"/>
    <w:rsid w:val="00112DF2"/>
    <w:rsid w:val="00123AE2"/>
    <w:rsid w:val="00124079"/>
    <w:rsid w:val="00133160"/>
    <w:rsid w:val="00140C9B"/>
    <w:rsid w:val="00141F8C"/>
    <w:rsid w:val="00150F19"/>
    <w:rsid w:val="00154118"/>
    <w:rsid w:val="00160474"/>
    <w:rsid w:val="001658F0"/>
    <w:rsid w:val="00166CA5"/>
    <w:rsid w:val="00167980"/>
    <w:rsid w:val="00170C93"/>
    <w:rsid w:val="00186AF4"/>
    <w:rsid w:val="001A2ED2"/>
    <w:rsid w:val="001C245F"/>
    <w:rsid w:val="001C621D"/>
    <w:rsid w:val="001E65B7"/>
    <w:rsid w:val="001F598D"/>
    <w:rsid w:val="00220B2D"/>
    <w:rsid w:val="00224D15"/>
    <w:rsid w:val="0023554D"/>
    <w:rsid w:val="00247BCC"/>
    <w:rsid w:val="00250B05"/>
    <w:rsid w:val="00253D49"/>
    <w:rsid w:val="0028360B"/>
    <w:rsid w:val="00284DE2"/>
    <w:rsid w:val="00286B0F"/>
    <w:rsid w:val="00286D2C"/>
    <w:rsid w:val="002917AB"/>
    <w:rsid w:val="002A221F"/>
    <w:rsid w:val="002A5733"/>
    <w:rsid w:val="002E5DF1"/>
    <w:rsid w:val="002E7B1C"/>
    <w:rsid w:val="002E7C39"/>
    <w:rsid w:val="002F6C12"/>
    <w:rsid w:val="002F703B"/>
    <w:rsid w:val="0031285C"/>
    <w:rsid w:val="00313791"/>
    <w:rsid w:val="00314C9B"/>
    <w:rsid w:val="00320D96"/>
    <w:rsid w:val="00321161"/>
    <w:rsid w:val="00325436"/>
    <w:rsid w:val="00340AB5"/>
    <w:rsid w:val="003541D3"/>
    <w:rsid w:val="00355147"/>
    <w:rsid w:val="00371625"/>
    <w:rsid w:val="003758B4"/>
    <w:rsid w:val="00395BFC"/>
    <w:rsid w:val="003C259C"/>
    <w:rsid w:val="003D56A4"/>
    <w:rsid w:val="003D64D9"/>
    <w:rsid w:val="003E1241"/>
    <w:rsid w:val="003E203E"/>
    <w:rsid w:val="003F11EB"/>
    <w:rsid w:val="003F2A85"/>
    <w:rsid w:val="003F49C9"/>
    <w:rsid w:val="00407A65"/>
    <w:rsid w:val="00416969"/>
    <w:rsid w:val="0042346D"/>
    <w:rsid w:val="0042369A"/>
    <w:rsid w:val="00431696"/>
    <w:rsid w:val="0044277B"/>
    <w:rsid w:val="00454413"/>
    <w:rsid w:val="00454B9E"/>
    <w:rsid w:val="004552C5"/>
    <w:rsid w:val="00463F93"/>
    <w:rsid w:val="004660AE"/>
    <w:rsid w:val="00471017"/>
    <w:rsid w:val="00473047"/>
    <w:rsid w:val="00477BA8"/>
    <w:rsid w:val="004876A7"/>
    <w:rsid w:val="00487B42"/>
    <w:rsid w:val="004A7E05"/>
    <w:rsid w:val="004A7E81"/>
    <w:rsid w:val="004C7C96"/>
    <w:rsid w:val="004D08CC"/>
    <w:rsid w:val="004D2C02"/>
    <w:rsid w:val="004D3846"/>
    <w:rsid w:val="004F5D76"/>
    <w:rsid w:val="00500E2A"/>
    <w:rsid w:val="00511E41"/>
    <w:rsid w:val="0051432C"/>
    <w:rsid w:val="00524CAD"/>
    <w:rsid w:val="00541F59"/>
    <w:rsid w:val="00544478"/>
    <w:rsid w:val="005479D3"/>
    <w:rsid w:val="00556ABC"/>
    <w:rsid w:val="00577F28"/>
    <w:rsid w:val="005841B0"/>
    <w:rsid w:val="00587199"/>
    <w:rsid w:val="00592E28"/>
    <w:rsid w:val="005936D5"/>
    <w:rsid w:val="00594710"/>
    <w:rsid w:val="005A1C12"/>
    <w:rsid w:val="005A333D"/>
    <w:rsid w:val="005C6319"/>
    <w:rsid w:val="005C6C69"/>
    <w:rsid w:val="005E39B5"/>
    <w:rsid w:val="005E5ACF"/>
    <w:rsid w:val="005F56C2"/>
    <w:rsid w:val="00603E70"/>
    <w:rsid w:val="00606F3F"/>
    <w:rsid w:val="00607979"/>
    <w:rsid w:val="006170A6"/>
    <w:rsid w:val="00630DC9"/>
    <w:rsid w:val="00647624"/>
    <w:rsid w:val="00654146"/>
    <w:rsid w:val="00662DF0"/>
    <w:rsid w:val="00665393"/>
    <w:rsid w:val="00665D4C"/>
    <w:rsid w:val="00666D67"/>
    <w:rsid w:val="00671164"/>
    <w:rsid w:val="006756BB"/>
    <w:rsid w:val="006923EA"/>
    <w:rsid w:val="006A51D2"/>
    <w:rsid w:val="006B707D"/>
    <w:rsid w:val="006C3B4C"/>
    <w:rsid w:val="006C4D50"/>
    <w:rsid w:val="006D3781"/>
    <w:rsid w:val="006D7B3D"/>
    <w:rsid w:val="00704A2E"/>
    <w:rsid w:val="00715940"/>
    <w:rsid w:val="00727B71"/>
    <w:rsid w:val="00741796"/>
    <w:rsid w:val="00745CFD"/>
    <w:rsid w:val="00750331"/>
    <w:rsid w:val="00752321"/>
    <w:rsid w:val="007664F4"/>
    <w:rsid w:val="00770A16"/>
    <w:rsid w:val="00783EA9"/>
    <w:rsid w:val="007900AE"/>
    <w:rsid w:val="00790880"/>
    <w:rsid w:val="0079255C"/>
    <w:rsid w:val="007A7377"/>
    <w:rsid w:val="007B463B"/>
    <w:rsid w:val="007D4D77"/>
    <w:rsid w:val="00805154"/>
    <w:rsid w:val="0081576F"/>
    <w:rsid w:val="0084109F"/>
    <w:rsid w:val="00871E3E"/>
    <w:rsid w:val="008A1342"/>
    <w:rsid w:val="008A53F8"/>
    <w:rsid w:val="008A6C71"/>
    <w:rsid w:val="008A7FCB"/>
    <w:rsid w:val="008B36DE"/>
    <w:rsid w:val="008D08BB"/>
    <w:rsid w:val="008D0FC4"/>
    <w:rsid w:val="008D577F"/>
    <w:rsid w:val="00906647"/>
    <w:rsid w:val="00922C09"/>
    <w:rsid w:val="00932824"/>
    <w:rsid w:val="009461EE"/>
    <w:rsid w:val="00960C19"/>
    <w:rsid w:val="009623E6"/>
    <w:rsid w:val="00973616"/>
    <w:rsid w:val="00975469"/>
    <w:rsid w:val="00987C56"/>
    <w:rsid w:val="00987CC6"/>
    <w:rsid w:val="009976E5"/>
    <w:rsid w:val="009A7561"/>
    <w:rsid w:val="009D26FF"/>
    <w:rsid w:val="009D3659"/>
    <w:rsid w:val="009F0529"/>
    <w:rsid w:val="009F085F"/>
    <w:rsid w:val="00A015DE"/>
    <w:rsid w:val="00A02608"/>
    <w:rsid w:val="00A0370D"/>
    <w:rsid w:val="00A25F41"/>
    <w:rsid w:val="00A64EF3"/>
    <w:rsid w:val="00A70915"/>
    <w:rsid w:val="00A73E7B"/>
    <w:rsid w:val="00A77A5E"/>
    <w:rsid w:val="00A80479"/>
    <w:rsid w:val="00A96230"/>
    <w:rsid w:val="00AA288D"/>
    <w:rsid w:val="00AA7EDE"/>
    <w:rsid w:val="00AB0D17"/>
    <w:rsid w:val="00AB1A27"/>
    <w:rsid w:val="00AB7084"/>
    <w:rsid w:val="00AC0854"/>
    <w:rsid w:val="00AC1243"/>
    <w:rsid w:val="00AC46CC"/>
    <w:rsid w:val="00AC5F31"/>
    <w:rsid w:val="00AD01B5"/>
    <w:rsid w:val="00AD3028"/>
    <w:rsid w:val="00AE47C7"/>
    <w:rsid w:val="00B01EF9"/>
    <w:rsid w:val="00B07BCE"/>
    <w:rsid w:val="00B35CF6"/>
    <w:rsid w:val="00B526E7"/>
    <w:rsid w:val="00B564D8"/>
    <w:rsid w:val="00B96042"/>
    <w:rsid w:val="00B9756C"/>
    <w:rsid w:val="00BA241E"/>
    <w:rsid w:val="00BA52AF"/>
    <w:rsid w:val="00BB11B5"/>
    <w:rsid w:val="00BB18D7"/>
    <w:rsid w:val="00BB4FB2"/>
    <w:rsid w:val="00BE22C0"/>
    <w:rsid w:val="00BF2259"/>
    <w:rsid w:val="00BF256A"/>
    <w:rsid w:val="00C025F2"/>
    <w:rsid w:val="00C12997"/>
    <w:rsid w:val="00C26F86"/>
    <w:rsid w:val="00C41229"/>
    <w:rsid w:val="00C435A4"/>
    <w:rsid w:val="00C47EFF"/>
    <w:rsid w:val="00C600C5"/>
    <w:rsid w:val="00C61595"/>
    <w:rsid w:val="00C6744E"/>
    <w:rsid w:val="00C74DD9"/>
    <w:rsid w:val="00C76117"/>
    <w:rsid w:val="00C77B94"/>
    <w:rsid w:val="00C80236"/>
    <w:rsid w:val="00C85FE7"/>
    <w:rsid w:val="00C9597C"/>
    <w:rsid w:val="00CA09C9"/>
    <w:rsid w:val="00CA694B"/>
    <w:rsid w:val="00CD586C"/>
    <w:rsid w:val="00D038F7"/>
    <w:rsid w:val="00D21847"/>
    <w:rsid w:val="00D263FA"/>
    <w:rsid w:val="00D317B0"/>
    <w:rsid w:val="00D3549F"/>
    <w:rsid w:val="00D36519"/>
    <w:rsid w:val="00D374B1"/>
    <w:rsid w:val="00D45C48"/>
    <w:rsid w:val="00D57BAA"/>
    <w:rsid w:val="00D806CE"/>
    <w:rsid w:val="00DB5646"/>
    <w:rsid w:val="00DD0A0D"/>
    <w:rsid w:val="00DD26CF"/>
    <w:rsid w:val="00DD3045"/>
    <w:rsid w:val="00DD31F6"/>
    <w:rsid w:val="00DE2407"/>
    <w:rsid w:val="00DE3150"/>
    <w:rsid w:val="00DF51A8"/>
    <w:rsid w:val="00DF5636"/>
    <w:rsid w:val="00E03DF4"/>
    <w:rsid w:val="00E168DE"/>
    <w:rsid w:val="00E17813"/>
    <w:rsid w:val="00E23433"/>
    <w:rsid w:val="00E40780"/>
    <w:rsid w:val="00E51D5C"/>
    <w:rsid w:val="00E61850"/>
    <w:rsid w:val="00E84930"/>
    <w:rsid w:val="00E84D57"/>
    <w:rsid w:val="00EA53A3"/>
    <w:rsid w:val="00EC08B8"/>
    <w:rsid w:val="00ED3D86"/>
    <w:rsid w:val="00EE3492"/>
    <w:rsid w:val="00F019FE"/>
    <w:rsid w:val="00F0736E"/>
    <w:rsid w:val="00F1021B"/>
    <w:rsid w:val="00F243FA"/>
    <w:rsid w:val="00F2703A"/>
    <w:rsid w:val="00F63F5C"/>
    <w:rsid w:val="00F675EF"/>
    <w:rsid w:val="00F67A02"/>
    <w:rsid w:val="00F752C2"/>
    <w:rsid w:val="00F77685"/>
    <w:rsid w:val="00FD79DB"/>
    <w:rsid w:val="00FD79FE"/>
    <w:rsid w:val="00FE26E7"/>
    <w:rsid w:val="00FE692F"/>
    <w:rsid w:val="00FF2A9B"/>
    <w:rsid w:val="00FF6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9C1076"/>
  <w15:docId w15:val="{0A320D02-8684-4B0C-BEC3-891D49804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A02"/>
    <w:rPr>
      <w:rFonts w:ascii="Times New Roman" w:hAnsi="Times New Roman"/>
    </w:rPr>
  </w:style>
  <w:style w:type="paragraph" w:styleId="Heading1">
    <w:name w:val="heading 1"/>
    <w:basedOn w:val="Normal"/>
    <w:next w:val="Normal"/>
    <w:link w:val="Heading1Char"/>
    <w:uiPriority w:val="9"/>
    <w:qFormat/>
    <w:rsid w:val="00F67A02"/>
    <w:pPr>
      <w:keepNext/>
      <w:keepLines/>
      <w:spacing w:after="0"/>
      <w:jc w:val="right"/>
      <w:outlineLvl w:val="0"/>
    </w:pPr>
    <w:rPr>
      <w:rFonts w:ascii="Arial" w:eastAsiaTheme="majorEastAsia" w:hAnsi="Arial" w:cstheme="majorBidi"/>
      <w:bCs/>
      <w:color w:val="C00000" w:themeColor="text2"/>
      <w:sz w:val="16"/>
      <w:szCs w:val="28"/>
    </w:rPr>
  </w:style>
  <w:style w:type="paragraph" w:styleId="Heading2">
    <w:name w:val="heading 2"/>
    <w:basedOn w:val="Normal"/>
    <w:next w:val="Normal"/>
    <w:link w:val="Heading2Char"/>
    <w:uiPriority w:val="9"/>
    <w:semiHidden/>
    <w:unhideWhenUsed/>
    <w:qFormat/>
    <w:rsid w:val="00F67A02"/>
    <w:pPr>
      <w:keepNext/>
      <w:keepLines/>
      <w:spacing w:after="0"/>
      <w:jc w:val="right"/>
      <w:outlineLvl w:val="1"/>
    </w:pPr>
    <w:rPr>
      <w:rFonts w:ascii="Arial" w:eastAsiaTheme="majorEastAsia" w:hAnsi="Arial" w:cstheme="majorBidi"/>
      <w:bCs/>
      <w:color w:val="666666" w:themeColor="background1"/>
      <w:sz w:val="1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DD9"/>
    <w:rPr>
      <w:rFonts w:ascii="Tahoma" w:hAnsi="Tahoma" w:cs="Tahoma"/>
      <w:sz w:val="16"/>
      <w:szCs w:val="16"/>
    </w:rPr>
  </w:style>
  <w:style w:type="paragraph" w:styleId="Header">
    <w:name w:val="header"/>
    <w:basedOn w:val="Normal"/>
    <w:link w:val="HeaderChar"/>
    <w:uiPriority w:val="99"/>
    <w:unhideWhenUsed/>
    <w:rsid w:val="00F07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36E"/>
  </w:style>
  <w:style w:type="paragraph" w:styleId="Footer">
    <w:name w:val="footer"/>
    <w:basedOn w:val="Normal"/>
    <w:link w:val="FooterChar"/>
    <w:uiPriority w:val="99"/>
    <w:unhideWhenUsed/>
    <w:rsid w:val="00F07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36E"/>
  </w:style>
  <w:style w:type="paragraph" w:customStyle="1" w:styleId="NoParagraphStyle">
    <w:name w:val="[No Paragraph Style]"/>
    <w:rsid w:val="000A1D0F"/>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Heading1Char">
    <w:name w:val="Heading 1 Char"/>
    <w:basedOn w:val="DefaultParagraphFont"/>
    <w:link w:val="Heading1"/>
    <w:uiPriority w:val="9"/>
    <w:rsid w:val="00F67A02"/>
    <w:rPr>
      <w:rFonts w:ascii="Arial" w:eastAsiaTheme="majorEastAsia" w:hAnsi="Arial" w:cstheme="majorBidi"/>
      <w:bCs/>
      <w:color w:val="C00000" w:themeColor="text2"/>
      <w:sz w:val="16"/>
      <w:szCs w:val="28"/>
    </w:rPr>
  </w:style>
  <w:style w:type="character" w:customStyle="1" w:styleId="Heading2Char">
    <w:name w:val="Heading 2 Char"/>
    <w:basedOn w:val="DefaultParagraphFont"/>
    <w:link w:val="Heading2"/>
    <w:uiPriority w:val="9"/>
    <w:semiHidden/>
    <w:rsid w:val="00F67A02"/>
    <w:rPr>
      <w:rFonts w:ascii="Arial" w:eastAsiaTheme="majorEastAsia" w:hAnsi="Arial" w:cstheme="majorBidi"/>
      <w:bCs/>
      <w:color w:val="666666" w:themeColor="background1"/>
      <w:sz w:val="14"/>
      <w:szCs w:val="26"/>
    </w:rPr>
  </w:style>
  <w:style w:type="paragraph" w:customStyle="1" w:styleId="Default">
    <w:name w:val="Default"/>
    <w:rsid w:val="002917A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rsid w:val="0079255C"/>
    <w:pPr>
      <w:ind w:left="720"/>
      <w:contextualSpacing/>
    </w:pPr>
  </w:style>
  <w:style w:type="paragraph" w:styleId="NoSpacing">
    <w:name w:val="No Spacing"/>
    <w:uiPriority w:val="1"/>
    <w:qFormat/>
    <w:rsid w:val="00D21847"/>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037563">
      <w:bodyDiv w:val="1"/>
      <w:marLeft w:val="0"/>
      <w:marRight w:val="0"/>
      <w:marTop w:val="0"/>
      <w:marBottom w:val="0"/>
      <w:divBdr>
        <w:top w:val="none" w:sz="0" w:space="0" w:color="auto"/>
        <w:left w:val="none" w:sz="0" w:space="0" w:color="auto"/>
        <w:bottom w:val="none" w:sz="0" w:space="0" w:color="auto"/>
        <w:right w:val="none" w:sz="0" w:space="0" w:color="auto"/>
      </w:divBdr>
      <w:divsChild>
        <w:div w:id="527833688">
          <w:marLeft w:val="0"/>
          <w:marRight w:val="0"/>
          <w:marTop w:val="0"/>
          <w:marBottom w:val="0"/>
          <w:divBdr>
            <w:top w:val="none" w:sz="0" w:space="0" w:color="auto"/>
            <w:left w:val="none" w:sz="0" w:space="0" w:color="auto"/>
            <w:bottom w:val="none" w:sz="0" w:space="0" w:color="auto"/>
            <w:right w:val="none" w:sz="0" w:space="0" w:color="auto"/>
          </w:divBdr>
        </w:div>
        <w:div w:id="1146968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ley.3\AppData\Local\Temp\Temp1_osu-stationery.zip\letterhead\OhioState_LH_Preferred_rev.dotx" TargetMode="External"/></Relationships>
</file>

<file path=word/theme/theme1.xml><?xml version="1.0" encoding="utf-8"?>
<a:theme xmlns:a="http://schemas.openxmlformats.org/drawingml/2006/main" name="Office Theme">
  <a:themeElements>
    <a:clrScheme name="Ohio State Palette">
      <a:dk1>
        <a:sysClr val="windowText" lastClr="000000"/>
      </a:dk1>
      <a:lt1>
        <a:srgbClr val="666666"/>
      </a:lt1>
      <a:dk2>
        <a:srgbClr val="C00000"/>
      </a:dk2>
      <a:lt2>
        <a:srgbClr val="666666"/>
      </a:lt2>
      <a:accent1>
        <a:srgbClr val="C00000"/>
      </a:accent1>
      <a:accent2>
        <a:srgbClr val="666666"/>
      </a:accent2>
      <a:accent3>
        <a:srgbClr val="000000"/>
      </a:accent3>
      <a:accent4>
        <a:srgbClr val="C00000"/>
      </a:accent4>
      <a:accent5>
        <a:srgbClr val="C00000"/>
      </a:accent5>
      <a:accent6>
        <a:srgbClr val="C00000"/>
      </a:accent6>
      <a:hlink>
        <a:srgbClr val="C00000"/>
      </a:hlink>
      <a:folHlink>
        <a:srgbClr val="C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OhioState_LH_Preferred_rev</Template>
  <TotalTime>33</TotalTime>
  <Pages>2</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Staley, David</dc:creator>
  <cp:lastModifiedBy>Vankeerbergen, Bernadette</cp:lastModifiedBy>
  <cp:revision>2</cp:revision>
  <cp:lastPrinted>2020-09-02T19:52:00Z</cp:lastPrinted>
  <dcterms:created xsi:type="dcterms:W3CDTF">2022-02-03T17:58:00Z</dcterms:created>
  <dcterms:modified xsi:type="dcterms:W3CDTF">2022-02-03T17:58:00Z</dcterms:modified>
</cp:coreProperties>
</file>